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2A284" w14:textId="77777777" w:rsidR="005E1943" w:rsidRPr="000B6A50" w:rsidRDefault="005E1943" w:rsidP="005E1943">
      <w:pPr>
        <w:pStyle w:val="Paragraphedeliste"/>
        <w:rPr>
          <w:b/>
        </w:rPr>
      </w:pPr>
    </w:p>
    <w:p w14:paraId="23E190D9" w14:textId="77777777" w:rsidR="005E1943" w:rsidRPr="005E1943" w:rsidRDefault="005E1943" w:rsidP="005E1943">
      <w:pPr>
        <w:pStyle w:val="paragraph"/>
        <w:numPr>
          <w:ilvl w:val="0"/>
          <w:numId w:val="2"/>
        </w:numPr>
        <w:textAlignment w:val="baseline"/>
        <w:rPr>
          <w:rStyle w:val="normaltextrun"/>
          <w:rFonts w:ascii="Calibri" w:hAnsi="Calibri" w:cs="Calibri"/>
          <w:b/>
          <w:bCs/>
          <w:sz w:val="22"/>
          <w:szCs w:val="22"/>
          <w:u w:val="single"/>
        </w:rPr>
      </w:pPr>
      <w:r w:rsidRPr="005E1943">
        <w:rPr>
          <w:rStyle w:val="normaltextrun"/>
          <w:rFonts w:ascii="Calibri" w:hAnsi="Calibri" w:cs="Calibri"/>
          <w:b/>
          <w:bCs/>
          <w:sz w:val="22"/>
          <w:szCs w:val="22"/>
          <w:u w:val="single"/>
        </w:rPr>
        <w:t>Bee Wallonie et autres projets de soutien de la Région wallonne à l’apiculture et à l’abeille au sens large</w:t>
      </w:r>
    </w:p>
    <w:p w14:paraId="1F7EA814" w14:textId="77777777" w:rsidR="005E1943" w:rsidRPr="005E1943" w:rsidRDefault="005E1943" w:rsidP="005E1943">
      <w:pPr>
        <w:pStyle w:val="paragraph"/>
        <w:rPr>
          <w:rStyle w:val="normaltextrun"/>
          <w:rFonts w:ascii="Calibri" w:hAnsi="Calibri" w:cs="Calibri"/>
          <w:sz w:val="22"/>
          <w:szCs w:val="22"/>
        </w:rPr>
      </w:pPr>
    </w:p>
    <w:p w14:paraId="5902D989" w14:textId="77777777" w:rsidR="005E1943" w:rsidRPr="005E1943" w:rsidRDefault="005E1943" w:rsidP="005E1943">
      <w:pPr>
        <w:pStyle w:val="paragraph"/>
        <w:numPr>
          <w:ilvl w:val="0"/>
          <w:numId w:val="1"/>
        </w:numPr>
        <w:spacing w:after="120" w:afterAutospacing="0"/>
        <w:rPr>
          <w:rStyle w:val="normaltextrun"/>
          <w:rFonts w:asciiTheme="minorHAnsi" w:eastAsiaTheme="minorEastAsia" w:hAnsiTheme="minorHAnsi" w:cstheme="minorBidi"/>
          <w:sz w:val="22"/>
          <w:szCs w:val="22"/>
        </w:rPr>
      </w:pPr>
      <w:r w:rsidRPr="005E1943">
        <w:rPr>
          <w:rStyle w:val="normaltextrun"/>
          <w:rFonts w:ascii="Calibri" w:hAnsi="Calibri" w:cs="Calibri"/>
          <w:b/>
          <w:bCs/>
          <w:sz w:val="22"/>
          <w:szCs w:val="22"/>
          <w:u w:val="single"/>
        </w:rPr>
        <w:t>Bee Wallonie</w:t>
      </w:r>
      <w:r w:rsidRPr="005E1943">
        <w:rPr>
          <w:rStyle w:val="normaltextrun"/>
          <w:rFonts w:ascii="Calibri" w:hAnsi="Calibri" w:cs="Calibri"/>
          <w:sz w:val="22"/>
          <w:szCs w:val="22"/>
        </w:rPr>
        <w:t xml:space="preserve"> </w:t>
      </w:r>
    </w:p>
    <w:p w14:paraId="5D60478A" w14:textId="77777777" w:rsidR="005E1943" w:rsidRPr="005E1943" w:rsidRDefault="005E1943" w:rsidP="005E1943">
      <w:pPr>
        <w:pStyle w:val="paragraph"/>
        <w:ind w:left="850"/>
        <w:rPr>
          <w:rStyle w:val="normaltextrun"/>
          <w:rFonts w:ascii="Calibri" w:hAnsi="Calibri" w:cs="Calibri"/>
          <w:sz w:val="22"/>
          <w:szCs w:val="22"/>
        </w:rPr>
      </w:pPr>
      <w:r w:rsidRPr="005E1943">
        <w:rPr>
          <w:rStyle w:val="normaltextrun"/>
          <w:rFonts w:ascii="Calibri" w:hAnsi="Calibri" w:cs="Calibri"/>
          <w:sz w:val="22"/>
          <w:szCs w:val="22"/>
        </w:rPr>
        <w:t>Projet porté conjointement par l’</w:t>
      </w:r>
      <w:proofErr w:type="spellStart"/>
      <w:r w:rsidRPr="005E1943">
        <w:rPr>
          <w:rStyle w:val="normaltextrun"/>
          <w:rFonts w:ascii="Calibri" w:hAnsi="Calibri" w:cs="Calibri"/>
          <w:sz w:val="22"/>
          <w:szCs w:val="22"/>
        </w:rPr>
        <w:t>a.s.b.l</w:t>
      </w:r>
      <w:proofErr w:type="spellEnd"/>
      <w:r w:rsidRPr="005E1943">
        <w:rPr>
          <w:rStyle w:val="normaltextrun"/>
          <w:rFonts w:ascii="Calibri" w:hAnsi="Calibri" w:cs="Calibri"/>
          <w:sz w:val="22"/>
          <w:szCs w:val="22"/>
        </w:rPr>
        <w:t>. CARI et le Centre wallon de Recherches agronomiques (CRA-W). Il comprend deux volets :</w:t>
      </w:r>
    </w:p>
    <w:p w14:paraId="51A5731E" w14:textId="77777777" w:rsidR="005E1943" w:rsidRPr="005E1943" w:rsidRDefault="005E1943" w:rsidP="005E1943">
      <w:pPr>
        <w:pStyle w:val="paragraph"/>
        <w:ind w:left="1417" w:hanging="567"/>
        <w:rPr>
          <w:rFonts w:ascii="Calibri" w:hAnsi="Calibri" w:cs="Calibri"/>
          <w:sz w:val="22"/>
          <w:szCs w:val="22"/>
        </w:rPr>
      </w:pPr>
      <w:r w:rsidRPr="005E1943">
        <w:rPr>
          <w:rStyle w:val="normaltextrun"/>
          <w:rFonts w:ascii="Calibri" w:hAnsi="Calibri" w:cs="Calibri"/>
          <w:b/>
          <w:bCs/>
          <w:sz w:val="22"/>
          <w:szCs w:val="22"/>
        </w:rPr>
        <w:t xml:space="preserve">1) Volet “Soutien et développement du secteur apicole” </w:t>
      </w:r>
      <w:r w:rsidRPr="005E1943">
        <w:rPr>
          <w:rStyle w:val="normaltextrun"/>
          <w:rFonts w:ascii="Calibri" w:hAnsi="Calibri" w:cs="Calibri"/>
          <w:sz w:val="22"/>
          <w:szCs w:val="22"/>
        </w:rPr>
        <w:t xml:space="preserve">: porté essentiellement par le CARI, il comprend 6 axes : </w:t>
      </w:r>
    </w:p>
    <w:p w14:paraId="533E14A6" w14:textId="77777777" w:rsidR="005E1943" w:rsidRPr="005E1943" w:rsidRDefault="005E1943" w:rsidP="005E1943">
      <w:pPr>
        <w:spacing w:after="0" w:line="240" w:lineRule="auto"/>
        <w:ind w:left="1701" w:hanging="567"/>
        <w:jc w:val="both"/>
        <w:rPr>
          <w:rFonts w:eastAsiaTheme="minorEastAsia"/>
          <w:lang w:val="fr"/>
        </w:rPr>
      </w:pPr>
      <w:r w:rsidRPr="005E1943">
        <w:rPr>
          <w:rFonts w:eastAsiaTheme="minorEastAsia"/>
          <w:lang w:val="fr"/>
        </w:rPr>
        <w:t xml:space="preserve">1°) </w:t>
      </w:r>
      <w:r w:rsidRPr="005E1943">
        <w:rPr>
          <w:rFonts w:eastAsiaTheme="minorEastAsia"/>
          <w:b/>
          <w:bCs/>
          <w:lang w:val="fr"/>
        </w:rPr>
        <w:t>évaluation du secteur :</w:t>
      </w:r>
      <w:r w:rsidRPr="005E1943">
        <w:rPr>
          <w:rFonts w:eastAsiaTheme="minorEastAsia"/>
          <w:lang w:val="fr"/>
        </w:rPr>
        <w:t xml:space="preserve"> réalisation d’une analyse prospective continue du secteur afin de mieux identifier les leviers de développement économique tout en consolidant l’apiculture ménagère ou familiale ; objectivation de l’importance du rôle que les apiculteurs jouent en faveur de la société civile et du patrimoine naturel (services écosystémiques) ;</w:t>
      </w:r>
    </w:p>
    <w:p w14:paraId="0FAAFA7A" w14:textId="77777777" w:rsidR="005E1943" w:rsidRPr="005E1943" w:rsidRDefault="005E1943" w:rsidP="005E1943">
      <w:pPr>
        <w:spacing w:after="0" w:line="240" w:lineRule="auto"/>
        <w:ind w:left="1701" w:hanging="567"/>
        <w:jc w:val="both"/>
        <w:rPr>
          <w:rFonts w:eastAsiaTheme="minorEastAsia"/>
          <w:lang w:val="fr"/>
        </w:rPr>
      </w:pPr>
      <w:r w:rsidRPr="005E1943">
        <w:rPr>
          <w:rFonts w:eastAsiaTheme="minorEastAsia"/>
          <w:lang w:val="fr"/>
        </w:rPr>
        <w:t xml:space="preserve">2°) </w:t>
      </w:r>
      <w:r w:rsidRPr="005E1943">
        <w:rPr>
          <w:rFonts w:eastAsiaTheme="minorEastAsia"/>
          <w:b/>
          <w:bCs/>
          <w:lang w:val="fr"/>
        </w:rPr>
        <w:t xml:space="preserve">formation </w:t>
      </w:r>
      <w:r w:rsidRPr="005E1943">
        <w:rPr>
          <w:rFonts w:eastAsiaTheme="minorEastAsia"/>
          <w:lang w:val="fr"/>
        </w:rPr>
        <w:t>: création et mise à disposition pour les apiculteurs d’outils de formation (initiale et continue) qui pourront être utilisés par les ruchers écoles et les associations apicoles ;</w:t>
      </w:r>
    </w:p>
    <w:p w14:paraId="2D57C974" w14:textId="77777777" w:rsidR="005E1943" w:rsidRPr="005E1943" w:rsidRDefault="005E1943" w:rsidP="005E1943">
      <w:pPr>
        <w:spacing w:after="0" w:line="240" w:lineRule="auto"/>
        <w:ind w:left="1701" w:hanging="567"/>
        <w:jc w:val="both"/>
        <w:rPr>
          <w:rFonts w:eastAsiaTheme="minorEastAsia"/>
          <w:lang w:val="fr"/>
        </w:rPr>
      </w:pPr>
      <w:r w:rsidRPr="005E1943">
        <w:rPr>
          <w:rFonts w:eastAsiaTheme="minorEastAsia"/>
          <w:lang w:val="fr"/>
        </w:rPr>
        <w:t xml:space="preserve">3°) </w:t>
      </w:r>
      <w:r w:rsidRPr="005E1943">
        <w:rPr>
          <w:rFonts w:eastAsiaTheme="minorEastAsia"/>
          <w:b/>
          <w:bCs/>
          <w:lang w:val="fr"/>
        </w:rPr>
        <w:t>information ;</w:t>
      </w:r>
    </w:p>
    <w:p w14:paraId="1BD82449" w14:textId="77777777" w:rsidR="005E1943" w:rsidRPr="005E1943" w:rsidRDefault="005E1943" w:rsidP="005E1943">
      <w:pPr>
        <w:spacing w:after="0" w:line="240" w:lineRule="auto"/>
        <w:ind w:left="1701" w:hanging="567"/>
        <w:jc w:val="both"/>
        <w:rPr>
          <w:rFonts w:eastAsiaTheme="minorEastAsia"/>
          <w:lang w:val="fr"/>
        </w:rPr>
      </w:pPr>
      <w:r w:rsidRPr="005E1943">
        <w:rPr>
          <w:rFonts w:eastAsiaTheme="minorEastAsia"/>
          <w:lang w:val="fr"/>
        </w:rPr>
        <w:t xml:space="preserve">4°) </w:t>
      </w:r>
      <w:r w:rsidRPr="005E1943">
        <w:rPr>
          <w:rFonts w:eastAsiaTheme="minorEastAsia"/>
          <w:b/>
          <w:bCs/>
          <w:lang w:val="fr"/>
        </w:rPr>
        <w:t xml:space="preserve">développement du secteur </w:t>
      </w:r>
      <w:r w:rsidRPr="005E1943">
        <w:rPr>
          <w:rFonts w:eastAsiaTheme="minorEastAsia"/>
          <w:lang w:val="fr"/>
        </w:rPr>
        <w:t>: mise en œuvre de plans d’actions pour un développement économique adapté au contexte wallon ;</w:t>
      </w:r>
    </w:p>
    <w:p w14:paraId="4DF4C063" w14:textId="77777777" w:rsidR="005E1943" w:rsidRPr="005E1943" w:rsidRDefault="005E1943" w:rsidP="005E1943">
      <w:pPr>
        <w:spacing w:after="0" w:line="240" w:lineRule="auto"/>
        <w:ind w:left="1701" w:hanging="567"/>
        <w:jc w:val="both"/>
        <w:rPr>
          <w:rFonts w:eastAsiaTheme="minorEastAsia"/>
          <w:lang w:val="fr"/>
        </w:rPr>
      </w:pPr>
      <w:r w:rsidRPr="005E1943">
        <w:rPr>
          <w:rFonts w:eastAsiaTheme="minorEastAsia"/>
          <w:lang w:val="fr"/>
        </w:rPr>
        <w:t xml:space="preserve">5°) </w:t>
      </w:r>
      <w:r w:rsidRPr="005E1943">
        <w:rPr>
          <w:rFonts w:eastAsiaTheme="minorEastAsia"/>
          <w:b/>
          <w:bCs/>
          <w:lang w:val="fr"/>
        </w:rPr>
        <w:t xml:space="preserve">services </w:t>
      </w:r>
      <w:r w:rsidRPr="005E1943">
        <w:rPr>
          <w:rFonts w:eastAsiaTheme="minorEastAsia"/>
          <w:lang w:val="fr"/>
        </w:rPr>
        <w:t>: aide à la mise en place d’une politique cohérente en matière d’implantation des ruchers ;</w:t>
      </w:r>
    </w:p>
    <w:p w14:paraId="418574D3" w14:textId="77777777" w:rsidR="005E1943" w:rsidRPr="005E1943" w:rsidRDefault="005E1943" w:rsidP="005E1943">
      <w:pPr>
        <w:spacing w:line="240" w:lineRule="auto"/>
        <w:ind w:left="1701" w:hanging="567"/>
        <w:jc w:val="both"/>
        <w:rPr>
          <w:rFonts w:eastAsiaTheme="minorEastAsia"/>
          <w:lang w:val="fr"/>
        </w:rPr>
      </w:pPr>
      <w:r w:rsidRPr="005E1943">
        <w:rPr>
          <w:rFonts w:eastAsiaTheme="minorEastAsia"/>
          <w:lang w:val="fr"/>
        </w:rPr>
        <w:t xml:space="preserve">6°) </w:t>
      </w:r>
      <w:r w:rsidRPr="005E1943">
        <w:rPr>
          <w:rFonts w:eastAsiaTheme="minorEastAsia"/>
          <w:b/>
          <w:bCs/>
          <w:lang w:val="fr"/>
        </w:rPr>
        <w:t xml:space="preserve">projets d’aides ponctuelles </w:t>
      </w:r>
      <w:r w:rsidRPr="005E1943">
        <w:rPr>
          <w:rFonts w:eastAsiaTheme="minorEastAsia"/>
          <w:lang w:val="fr"/>
        </w:rPr>
        <w:t>: sur base des besoins identifiés par le Comité d’accompagnement, mise en œuvre d’actions de soutien collectif en matériel (ruchers tampons ou ruchers solidaires, ruchers-écoles, sections).</w:t>
      </w:r>
    </w:p>
    <w:p w14:paraId="37DF9AD8" w14:textId="77777777" w:rsidR="005E1943" w:rsidRPr="005E1943" w:rsidRDefault="005E1943" w:rsidP="005E1943">
      <w:pPr>
        <w:ind w:left="850"/>
        <w:jc w:val="both"/>
        <w:rPr>
          <w:rFonts w:eastAsiaTheme="minorEastAsia"/>
          <w:lang w:val="fr"/>
        </w:rPr>
      </w:pPr>
      <w:r w:rsidRPr="005E1943">
        <w:rPr>
          <w:rFonts w:eastAsiaTheme="minorEastAsia"/>
          <w:lang w:val="fr"/>
        </w:rPr>
        <w:t xml:space="preserve">Parallèlement à ces actions, le CARI est chargé, en concertation avec le secteur, d’élaborer un </w:t>
      </w:r>
      <w:r w:rsidRPr="005E1943">
        <w:rPr>
          <w:rFonts w:eastAsiaTheme="minorEastAsia"/>
          <w:b/>
          <w:bCs/>
          <w:lang w:val="fr"/>
        </w:rPr>
        <w:t>plan stratégique</w:t>
      </w:r>
      <w:r w:rsidRPr="005E1943">
        <w:rPr>
          <w:rFonts w:eastAsiaTheme="minorEastAsia"/>
          <w:lang w:val="fr"/>
        </w:rPr>
        <w:t xml:space="preserve"> de l’apiculture wallonne à 10 ans.</w:t>
      </w:r>
    </w:p>
    <w:p w14:paraId="1844224B" w14:textId="77777777" w:rsidR="005E1943" w:rsidRPr="005E1943" w:rsidRDefault="005E1943" w:rsidP="005E1943">
      <w:pPr>
        <w:pStyle w:val="paragraph"/>
        <w:ind w:left="850"/>
        <w:rPr>
          <w:rStyle w:val="normaltextrun"/>
          <w:rFonts w:ascii="Calibri" w:hAnsi="Calibri" w:cs="Calibri"/>
          <w:sz w:val="22"/>
          <w:szCs w:val="22"/>
          <w:lang w:val="fr"/>
        </w:rPr>
      </w:pPr>
      <w:r w:rsidRPr="005E1943">
        <w:rPr>
          <w:rStyle w:val="normaltextrun"/>
          <w:rFonts w:ascii="Calibri" w:hAnsi="Calibri" w:cs="Calibri"/>
          <w:b/>
          <w:bCs/>
          <w:sz w:val="22"/>
          <w:szCs w:val="22"/>
          <w:lang w:val="fr"/>
        </w:rPr>
        <w:t xml:space="preserve">2) Volet “Santé de l’Abeille, agriculture et environnement” : </w:t>
      </w:r>
      <w:r w:rsidRPr="005E1943">
        <w:rPr>
          <w:rStyle w:val="normaltextrun"/>
          <w:rFonts w:ascii="Calibri" w:hAnsi="Calibri" w:cs="Calibri"/>
          <w:sz w:val="22"/>
          <w:szCs w:val="22"/>
          <w:lang w:val="fr"/>
        </w:rPr>
        <w:t>porté essentiellement par le CRA-W, il comprend 5 axes :</w:t>
      </w:r>
    </w:p>
    <w:p w14:paraId="08E45836" w14:textId="77777777" w:rsidR="005E1943" w:rsidRPr="005E1943" w:rsidRDefault="005E1943" w:rsidP="005E1943">
      <w:pPr>
        <w:spacing w:after="0" w:line="240" w:lineRule="auto"/>
        <w:ind w:left="1701" w:hanging="567"/>
        <w:jc w:val="both"/>
        <w:rPr>
          <w:rFonts w:eastAsiaTheme="minorEastAsia"/>
          <w:lang w:val="fr"/>
        </w:rPr>
      </w:pPr>
      <w:r w:rsidRPr="005E1943">
        <w:rPr>
          <w:rFonts w:eastAsiaTheme="minorEastAsia"/>
          <w:lang w:val="fr"/>
        </w:rPr>
        <w:t xml:space="preserve">1°) </w:t>
      </w:r>
      <w:r w:rsidRPr="005E1943">
        <w:rPr>
          <w:rFonts w:eastAsiaTheme="minorEastAsia"/>
          <w:b/>
          <w:bCs/>
          <w:lang w:val="fr"/>
        </w:rPr>
        <w:t>suivi des dépérissements des colonies wallonnes et suivi sanitaire</w:t>
      </w:r>
      <w:r w:rsidRPr="005E1943">
        <w:rPr>
          <w:rFonts w:eastAsiaTheme="minorEastAsia"/>
          <w:lang w:val="fr"/>
        </w:rPr>
        <w:t xml:space="preserve"> ;</w:t>
      </w:r>
    </w:p>
    <w:p w14:paraId="3B18D59A" w14:textId="77777777" w:rsidR="005E1943" w:rsidRPr="005E1943" w:rsidRDefault="005E1943" w:rsidP="005E1943">
      <w:pPr>
        <w:spacing w:after="0" w:line="240" w:lineRule="auto"/>
        <w:ind w:left="1701" w:hanging="567"/>
        <w:jc w:val="both"/>
        <w:rPr>
          <w:rFonts w:eastAsiaTheme="minorEastAsia"/>
          <w:lang w:val="fr"/>
        </w:rPr>
      </w:pPr>
      <w:r w:rsidRPr="005E1943">
        <w:rPr>
          <w:rFonts w:eastAsiaTheme="minorEastAsia"/>
          <w:lang w:val="fr"/>
        </w:rPr>
        <w:t xml:space="preserve">2°) </w:t>
      </w:r>
      <w:r w:rsidRPr="005E1943">
        <w:rPr>
          <w:rFonts w:eastAsiaTheme="minorEastAsia"/>
          <w:b/>
          <w:bCs/>
          <w:lang w:val="fr"/>
        </w:rPr>
        <w:t xml:space="preserve">prophylaxie, suivi des espèces invasives et lutte contre les prédateurs </w:t>
      </w:r>
      <w:r w:rsidRPr="005E1943">
        <w:rPr>
          <w:rFonts w:eastAsiaTheme="minorEastAsia"/>
          <w:lang w:val="fr"/>
        </w:rPr>
        <w:t xml:space="preserve">: encadrement scientifique et technique, sensibilisation, information, conseils et formation des apiculteurs ; suivi de l’efficacité des différentes méthodes de contrôle de la </w:t>
      </w:r>
      <w:proofErr w:type="spellStart"/>
      <w:r w:rsidRPr="005E1943">
        <w:rPr>
          <w:rFonts w:eastAsiaTheme="minorEastAsia"/>
          <w:lang w:val="fr"/>
        </w:rPr>
        <w:t>varroase</w:t>
      </w:r>
      <w:proofErr w:type="spellEnd"/>
      <w:r w:rsidRPr="005E1943">
        <w:rPr>
          <w:rFonts w:eastAsiaTheme="minorEastAsia"/>
          <w:lang w:val="fr"/>
        </w:rPr>
        <w:t xml:space="preserve"> et développement de nouvelles méthodes à inclure dans une stratégie de lutte intégrée ; encadrement scientifique dans la recherche de moyens de lutte adaptés au contexte wallon contre les espèces nuisibles à l’abeille (frelon asiatique, petit coléoptère des ruches) ;</w:t>
      </w:r>
    </w:p>
    <w:p w14:paraId="42C74172" w14:textId="77777777" w:rsidR="005E1943" w:rsidRPr="005E1943" w:rsidRDefault="005E1943" w:rsidP="005E1943">
      <w:pPr>
        <w:spacing w:after="0" w:line="240" w:lineRule="auto"/>
        <w:ind w:left="1701" w:hanging="567"/>
        <w:jc w:val="both"/>
        <w:rPr>
          <w:rFonts w:eastAsiaTheme="minorEastAsia"/>
          <w:lang w:val="fr"/>
        </w:rPr>
      </w:pPr>
      <w:r w:rsidRPr="005E1943">
        <w:rPr>
          <w:rFonts w:eastAsiaTheme="minorEastAsia"/>
          <w:lang w:val="fr"/>
        </w:rPr>
        <w:t xml:space="preserve"> 3°) </w:t>
      </w:r>
      <w:r w:rsidRPr="005E1943">
        <w:rPr>
          <w:rFonts w:eastAsiaTheme="minorEastAsia"/>
          <w:b/>
          <w:bCs/>
          <w:lang w:val="fr"/>
        </w:rPr>
        <w:t>suivi des contaminants environnementaux</w:t>
      </w:r>
      <w:r w:rsidRPr="005E1943">
        <w:rPr>
          <w:rFonts w:eastAsiaTheme="minorEastAsia"/>
          <w:lang w:val="fr"/>
        </w:rPr>
        <w:t xml:space="preserve"> : mise en place d’un monitoring de la contamination environnementale des ruches, en lien avec le monitoring des dépérissements ;</w:t>
      </w:r>
    </w:p>
    <w:p w14:paraId="71269DB5" w14:textId="77777777" w:rsidR="005E1943" w:rsidRPr="005E1943" w:rsidRDefault="005E1943" w:rsidP="005E1943">
      <w:pPr>
        <w:spacing w:after="0" w:line="240" w:lineRule="auto"/>
        <w:ind w:left="1701" w:hanging="567"/>
        <w:jc w:val="both"/>
        <w:rPr>
          <w:rFonts w:eastAsiaTheme="minorEastAsia"/>
          <w:lang w:val="fr"/>
        </w:rPr>
      </w:pPr>
      <w:r w:rsidRPr="005E1943">
        <w:rPr>
          <w:rFonts w:eastAsiaTheme="minorEastAsia"/>
          <w:lang w:val="fr"/>
        </w:rPr>
        <w:t xml:space="preserve">4°) </w:t>
      </w:r>
      <w:r w:rsidRPr="005E1943">
        <w:rPr>
          <w:rFonts w:eastAsiaTheme="minorEastAsia"/>
          <w:b/>
          <w:bCs/>
          <w:lang w:val="fr"/>
        </w:rPr>
        <w:t>écotoxicologie</w:t>
      </w:r>
      <w:r w:rsidRPr="005E1943">
        <w:rPr>
          <w:rFonts w:eastAsiaTheme="minorEastAsia"/>
          <w:lang w:val="fr"/>
        </w:rPr>
        <w:t xml:space="preserve"> : réalisation d’une veille scientifique sur les causes des dépérissements liées aux contaminations de l’environnement ; réalisation de pré-</w:t>
      </w:r>
      <w:r w:rsidRPr="005E1943">
        <w:rPr>
          <w:rFonts w:eastAsiaTheme="minorEastAsia"/>
          <w:lang w:val="fr"/>
        </w:rPr>
        <w:lastRenderedPageBreak/>
        <w:t xml:space="preserve">tests </w:t>
      </w:r>
      <w:proofErr w:type="spellStart"/>
      <w:r w:rsidRPr="005E1943">
        <w:rPr>
          <w:rFonts w:eastAsiaTheme="minorEastAsia"/>
          <w:lang w:val="fr"/>
        </w:rPr>
        <w:t>écotoxicologiques</w:t>
      </w:r>
      <w:proofErr w:type="spellEnd"/>
      <w:r w:rsidRPr="005E1943">
        <w:rPr>
          <w:rFonts w:eastAsiaTheme="minorEastAsia"/>
          <w:lang w:val="fr"/>
        </w:rPr>
        <w:t xml:space="preserve"> en vue d’expliquer certaines observations de dépérissement ;</w:t>
      </w:r>
    </w:p>
    <w:p w14:paraId="717D2D26" w14:textId="77777777" w:rsidR="005E1943" w:rsidRPr="005E1943" w:rsidRDefault="005E1943" w:rsidP="005E1943">
      <w:pPr>
        <w:spacing w:line="240" w:lineRule="auto"/>
        <w:ind w:left="1701" w:hanging="567"/>
        <w:jc w:val="both"/>
        <w:rPr>
          <w:rFonts w:eastAsiaTheme="minorEastAsia"/>
          <w:lang w:val="fr"/>
        </w:rPr>
      </w:pPr>
      <w:r w:rsidRPr="005E1943">
        <w:rPr>
          <w:rFonts w:eastAsiaTheme="minorEastAsia"/>
          <w:lang w:val="fr"/>
        </w:rPr>
        <w:t xml:space="preserve">5°) </w:t>
      </w:r>
      <w:r w:rsidRPr="005E1943">
        <w:rPr>
          <w:rFonts w:eastAsiaTheme="minorEastAsia"/>
          <w:b/>
          <w:bCs/>
          <w:lang w:val="fr"/>
        </w:rPr>
        <w:t xml:space="preserve">pratiques agricoles et apiculture </w:t>
      </w:r>
      <w:r w:rsidRPr="005E1943">
        <w:rPr>
          <w:rFonts w:eastAsiaTheme="minorEastAsia"/>
          <w:lang w:val="fr"/>
        </w:rPr>
        <w:t>: évaluation de certaines pratiques agricoles, conseil et information aux agriculteurs.</w:t>
      </w:r>
    </w:p>
    <w:p w14:paraId="6A3A0982" w14:textId="77777777" w:rsidR="005E1943" w:rsidRPr="005E1943" w:rsidRDefault="005E1943" w:rsidP="005E1943">
      <w:pPr>
        <w:pStyle w:val="paragraph"/>
        <w:spacing w:after="120" w:afterAutospacing="0"/>
        <w:ind w:left="850"/>
        <w:jc w:val="both"/>
        <w:rPr>
          <w:rFonts w:asciiTheme="minorHAnsi" w:eastAsiaTheme="minorEastAsia" w:hAnsiTheme="minorHAnsi" w:cstheme="minorBidi"/>
          <w:sz w:val="22"/>
          <w:szCs w:val="22"/>
          <w:lang w:val="fr"/>
        </w:rPr>
      </w:pPr>
      <w:r w:rsidRPr="005E1943">
        <w:rPr>
          <w:rFonts w:asciiTheme="minorHAnsi" w:eastAsiaTheme="minorEastAsia" w:hAnsiTheme="minorHAnsi" w:cstheme="minorBidi"/>
          <w:sz w:val="22"/>
          <w:szCs w:val="22"/>
          <w:lang w:val="fr"/>
        </w:rPr>
        <w:t>Parallèlement à ces actions, le CARI et le CRA-W sont chargés de mettre en place une plate-forme de concertation destinée à améliorer le dialogue entre l’apiculture et l’agriculture.</w:t>
      </w:r>
    </w:p>
    <w:p w14:paraId="4F8BA00F" w14:textId="77777777" w:rsidR="005E1943" w:rsidRPr="005E1943" w:rsidRDefault="005E1943" w:rsidP="005E1943">
      <w:pPr>
        <w:pStyle w:val="paragraph"/>
        <w:spacing w:after="120" w:afterAutospacing="0"/>
        <w:ind w:left="850"/>
        <w:jc w:val="both"/>
        <w:rPr>
          <w:rFonts w:asciiTheme="minorHAnsi" w:eastAsiaTheme="minorEastAsia" w:hAnsiTheme="minorHAnsi" w:cstheme="minorBidi"/>
          <w:sz w:val="22"/>
          <w:szCs w:val="22"/>
          <w:lang w:val="fr"/>
        </w:rPr>
      </w:pPr>
      <w:r w:rsidRPr="005E1943">
        <w:rPr>
          <w:rStyle w:val="normaltextrun"/>
          <w:rFonts w:ascii="Calibri" w:hAnsi="Calibri" w:cs="Calibri"/>
          <w:sz w:val="22"/>
          <w:szCs w:val="22"/>
        </w:rPr>
        <w:t xml:space="preserve">En savoir plus : </w:t>
      </w:r>
      <w:hyperlink r:id="rId10">
        <w:r w:rsidRPr="005E1943">
          <w:rPr>
            <w:rStyle w:val="Lienhypertexte"/>
            <w:rFonts w:ascii="Calibri" w:hAnsi="Calibri" w:cs="Calibri"/>
            <w:color w:val="0000FF"/>
            <w:sz w:val="22"/>
            <w:szCs w:val="22"/>
          </w:rPr>
          <w:t>www.beewallonie.be. </w:t>
        </w:r>
      </w:hyperlink>
    </w:p>
    <w:p w14:paraId="3A884581" w14:textId="77777777" w:rsidR="005E1943" w:rsidRPr="005E1943" w:rsidRDefault="005E1943" w:rsidP="005E1943">
      <w:pPr>
        <w:pStyle w:val="paragraph"/>
        <w:numPr>
          <w:ilvl w:val="0"/>
          <w:numId w:val="1"/>
        </w:numPr>
        <w:spacing w:after="120" w:afterAutospacing="0"/>
        <w:jc w:val="both"/>
        <w:rPr>
          <w:rFonts w:asciiTheme="minorHAnsi" w:eastAsiaTheme="minorEastAsia" w:hAnsiTheme="minorHAnsi" w:cstheme="minorBidi"/>
          <w:b/>
          <w:bCs/>
          <w:sz w:val="22"/>
          <w:szCs w:val="22"/>
          <w:lang w:val="fr"/>
        </w:rPr>
      </w:pPr>
      <w:r w:rsidRPr="005E1943">
        <w:rPr>
          <w:rFonts w:asciiTheme="minorHAnsi" w:eastAsiaTheme="minorEastAsia" w:hAnsiTheme="minorHAnsi" w:cstheme="minorBidi"/>
          <w:b/>
          <w:bCs/>
          <w:sz w:val="22"/>
          <w:szCs w:val="22"/>
          <w:u w:val="single"/>
          <w:lang w:val="fr"/>
        </w:rPr>
        <w:t>Programme européen de soutien à l’apiculture</w:t>
      </w:r>
    </w:p>
    <w:p w14:paraId="18DF287A" w14:textId="77777777" w:rsidR="005E1943" w:rsidRPr="005E1943" w:rsidRDefault="005E1943" w:rsidP="005E1943">
      <w:pPr>
        <w:pStyle w:val="paragraph"/>
        <w:spacing w:after="120" w:afterAutospacing="0"/>
        <w:ind w:left="850"/>
        <w:jc w:val="both"/>
        <w:rPr>
          <w:rFonts w:ascii="Calibri" w:eastAsia="Calibri" w:hAnsi="Calibri" w:cs="Calibri"/>
          <w:sz w:val="22"/>
          <w:szCs w:val="22"/>
          <w:lang w:val="fr"/>
        </w:rPr>
      </w:pPr>
      <w:r w:rsidRPr="005E1943">
        <w:rPr>
          <w:rFonts w:ascii="Calibri" w:eastAsia="Calibri" w:hAnsi="Calibri" w:cs="Calibri"/>
          <w:sz w:val="22"/>
          <w:szCs w:val="22"/>
          <w:lang w:val="fr"/>
        </w:rPr>
        <w:t xml:space="preserve">Programme triennal cofinancé par l’Europe. Pour le programme 2019-2022, les mesures portent essentiellement sur la qualité des produits (CARI) et la lutte contre la </w:t>
      </w:r>
      <w:proofErr w:type="spellStart"/>
      <w:r w:rsidRPr="005E1943">
        <w:rPr>
          <w:rFonts w:ascii="Calibri" w:eastAsia="Calibri" w:hAnsi="Calibri" w:cs="Calibri"/>
          <w:sz w:val="22"/>
          <w:szCs w:val="22"/>
          <w:lang w:val="fr"/>
        </w:rPr>
        <w:t>varroase</w:t>
      </w:r>
      <w:proofErr w:type="spellEnd"/>
      <w:r w:rsidRPr="005E1943">
        <w:rPr>
          <w:rFonts w:ascii="Calibri" w:eastAsia="Calibri" w:hAnsi="Calibri" w:cs="Calibri"/>
          <w:sz w:val="22"/>
          <w:szCs w:val="22"/>
          <w:lang w:val="fr"/>
        </w:rPr>
        <w:t xml:space="preserve"> (sélection d’abeilles résistantes - </w:t>
      </w:r>
      <w:proofErr w:type="spellStart"/>
      <w:r w:rsidRPr="005E1943">
        <w:rPr>
          <w:rFonts w:ascii="Calibri" w:eastAsia="Calibri" w:hAnsi="Calibri" w:cs="Calibri"/>
          <w:sz w:val="22"/>
          <w:szCs w:val="22"/>
          <w:lang w:val="fr"/>
        </w:rPr>
        <w:t>a.s.b.l</w:t>
      </w:r>
      <w:proofErr w:type="spellEnd"/>
      <w:r w:rsidRPr="005E1943">
        <w:rPr>
          <w:rFonts w:ascii="Calibri" w:eastAsia="Calibri" w:hAnsi="Calibri" w:cs="Calibri"/>
          <w:sz w:val="22"/>
          <w:szCs w:val="22"/>
          <w:lang w:val="fr"/>
        </w:rPr>
        <w:t xml:space="preserve">. </w:t>
      </w:r>
      <w:proofErr w:type="spellStart"/>
      <w:r w:rsidRPr="005E1943">
        <w:rPr>
          <w:rFonts w:ascii="Calibri" w:eastAsia="Calibri" w:hAnsi="Calibri" w:cs="Calibri"/>
          <w:sz w:val="22"/>
          <w:szCs w:val="22"/>
          <w:lang w:val="fr"/>
        </w:rPr>
        <w:t>Arista</w:t>
      </w:r>
      <w:proofErr w:type="spellEnd"/>
      <w:r w:rsidRPr="005E1943">
        <w:rPr>
          <w:rFonts w:ascii="Calibri" w:eastAsia="Calibri" w:hAnsi="Calibri" w:cs="Calibri"/>
          <w:sz w:val="22"/>
          <w:szCs w:val="22"/>
          <w:lang w:val="fr"/>
        </w:rPr>
        <w:t xml:space="preserve"> Bee  </w:t>
      </w:r>
      <w:proofErr w:type="spellStart"/>
      <w:r w:rsidRPr="005E1943">
        <w:rPr>
          <w:rFonts w:ascii="Calibri" w:eastAsia="Calibri" w:hAnsi="Calibri" w:cs="Calibri"/>
          <w:sz w:val="22"/>
          <w:szCs w:val="22"/>
          <w:lang w:val="fr"/>
        </w:rPr>
        <w:t>Research</w:t>
      </w:r>
      <w:proofErr w:type="spellEnd"/>
      <w:r w:rsidRPr="005E1943">
        <w:rPr>
          <w:rFonts w:ascii="Calibri" w:eastAsia="Calibri" w:hAnsi="Calibri" w:cs="Calibri"/>
          <w:sz w:val="22"/>
          <w:szCs w:val="22"/>
          <w:lang w:val="fr"/>
        </w:rPr>
        <w:t xml:space="preserve"> Belgium)</w:t>
      </w:r>
    </w:p>
    <w:p w14:paraId="44209627" w14:textId="77777777" w:rsidR="005E1943" w:rsidRPr="005E1943" w:rsidRDefault="005E1943" w:rsidP="005E1943">
      <w:pPr>
        <w:pStyle w:val="paragraph"/>
        <w:numPr>
          <w:ilvl w:val="0"/>
          <w:numId w:val="1"/>
        </w:numPr>
        <w:jc w:val="both"/>
        <w:rPr>
          <w:rFonts w:asciiTheme="minorHAnsi" w:eastAsiaTheme="minorEastAsia" w:hAnsiTheme="minorHAnsi" w:cstheme="minorBidi"/>
          <w:b/>
          <w:bCs/>
          <w:sz w:val="22"/>
          <w:szCs w:val="22"/>
          <w:lang w:val="fr"/>
        </w:rPr>
      </w:pPr>
      <w:r w:rsidRPr="005E1943">
        <w:rPr>
          <w:rFonts w:asciiTheme="minorHAnsi" w:eastAsiaTheme="minorEastAsia" w:hAnsiTheme="minorHAnsi" w:cstheme="minorBidi"/>
          <w:b/>
          <w:bCs/>
          <w:sz w:val="22"/>
          <w:szCs w:val="22"/>
          <w:u w:val="single"/>
          <w:lang w:val="fr"/>
        </w:rPr>
        <w:t>Formation en apiculture</w:t>
      </w:r>
    </w:p>
    <w:p w14:paraId="312D3B19" w14:textId="77777777" w:rsidR="005E1943" w:rsidRPr="005E1943" w:rsidRDefault="005E1943" w:rsidP="005E1943">
      <w:pPr>
        <w:pStyle w:val="paragraph"/>
        <w:jc w:val="both"/>
        <w:rPr>
          <w:rStyle w:val="normaltextrun"/>
          <w:rFonts w:ascii="Calibri" w:hAnsi="Calibri" w:cs="Calibri"/>
          <w:sz w:val="22"/>
          <w:szCs w:val="22"/>
          <w:lang w:val="fr"/>
        </w:rPr>
      </w:pPr>
    </w:p>
    <w:p w14:paraId="2F40FB42" w14:textId="77777777" w:rsidR="005E1943" w:rsidRPr="005E1943" w:rsidRDefault="005E1943" w:rsidP="005E1943">
      <w:pPr>
        <w:pStyle w:val="paragraph"/>
        <w:ind w:left="850"/>
        <w:jc w:val="both"/>
        <w:rPr>
          <w:rStyle w:val="normaltextrun"/>
          <w:rFonts w:ascii="Calibri" w:hAnsi="Calibri" w:cs="Calibri"/>
          <w:sz w:val="22"/>
          <w:szCs w:val="22"/>
          <w:lang w:val="fr"/>
        </w:rPr>
      </w:pPr>
      <w:r w:rsidRPr="005E1943">
        <w:rPr>
          <w:rStyle w:val="normaltextrun"/>
          <w:rFonts w:ascii="Calibri" w:hAnsi="Calibri" w:cs="Calibri"/>
          <w:sz w:val="22"/>
          <w:szCs w:val="22"/>
          <w:lang w:val="fr"/>
        </w:rPr>
        <w:t>250.000 € sont octroyés annuellement aux ruchers-écoles et aux sections apicoles pour organiser des cours d’initiation, de base et de spécialisation ainsi que des conférences (formation continue).</w:t>
      </w:r>
    </w:p>
    <w:p w14:paraId="6AF3F043" w14:textId="77777777" w:rsidR="005E1943" w:rsidRPr="005E1943" w:rsidRDefault="005E1943" w:rsidP="005E1943">
      <w:pPr>
        <w:pStyle w:val="paragraph"/>
        <w:spacing w:after="120" w:afterAutospacing="0"/>
        <w:ind w:left="850"/>
        <w:rPr>
          <w:rStyle w:val="normaltextrun"/>
          <w:rFonts w:ascii="Calibri" w:hAnsi="Calibri" w:cs="Calibri"/>
          <w:sz w:val="22"/>
          <w:szCs w:val="22"/>
          <w:lang w:val="fr"/>
        </w:rPr>
      </w:pPr>
      <w:r w:rsidRPr="005E1943">
        <w:rPr>
          <w:rStyle w:val="normaltextrun"/>
          <w:rFonts w:ascii="Calibri" w:hAnsi="Calibri" w:cs="Calibri"/>
          <w:sz w:val="22"/>
          <w:szCs w:val="22"/>
          <w:lang w:val="fr"/>
        </w:rPr>
        <w:t xml:space="preserve">En savoir plus : </w:t>
      </w:r>
      <w:hyperlink r:id="rId11">
        <w:r w:rsidRPr="005E1943">
          <w:rPr>
            <w:rStyle w:val="Lienhypertexte"/>
            <w:rFonts w:ascii="Calibri" w:hAnsi="Calibri" w:cs="Calibri"/>
            <w:sz w:val="22"/>
            <w:szCs w:val="22"/>
            <w:lang w:val="fr"/>
          </w:rPr>
          <w:t>http://www.beewallonie.be/formation-apiculture/</w:t>
        </w:r>
      </w:hyperlink>
      <w:r w:rsidRPr="005E1943">
        <w:rPr>
          <w:rFonts w:ascii="Calibri" w:hAnsi="Calibri" w:cs="Calibri"/>
          <w:sz w:val="22"/>
          <w:szCs w:val="22"/>
          <w:lang w:val="fr"/>
        </w:rPr>
        <w:t xml:space="preserve"> et </w:t>
      </w:r>
      <w:hyperlink r:id="rId12">
        <w:r w:rsidRPr="005E1943">
          <w:rPr>
            <w:rStyle w:val="Lienhypertexte"/>
            <w:rFonts w:ascii="Calibri" w:hAnsi="Calibri" w:cs="Calibri"/>
            <w:sz w:val="22"/>
            <w:szCs w:val="22"/>
            <w:lang w:val="fr"/>
          </w:rPr>
          <w:t>https://agriculture.wallonie.be/formation-en-apiculture</w:t>
        </w:r>
      </w:hyperlink>
    </w:p>
    <w:p w14:paraId="2B5519A6" w14:textId="77777777" w:rsidR="005E1943" w:rsidRPr="005E1943" w:rsidRDefault="005E1943" w:rsidP="005E1943">
      <w:pPr>
        <w:pStyle w:val="paragraph"/>
        <w:numPr>
          <w:ilvl w:val="0"/>
          <w:numId w:val="1"/>
        </w:numPr>
        <w:spacing w:after="120" w:afterAutospacing="0"/>
        <w:jc w:val="both"/>
        <w:rPr>
          <w:rFonts w:asciiTheme="minorHAnsi" w:eastAsiaTheme="minorEastAsia" w:hAnsiTheme="minorHAnsi" w:cstheme="minorBidi"/>
          <w:b/>
          <w:bCs/>
          <w:sz w:val="22"/>
          <w:szCs w:val="22"/>
          <w:lang w:val="fr"/>
        </w:rPr>
      </w:pPr>
      <w:r w:rsidRPr="005E1943">
        <w:rPr>
          <w:rFonts w:asciiTheme="minorHAnsi" w:eastAsiaTheme="minorEastAsia" w:hAnsiTheme="minorHAnsi" w:cstheme="minorBidi"/>
          <w:b/>
          <w:bCs/>
          <w:sz w:val="22"/>
          <w:szCs w:val="22"/>
          <w:u w:val="single"/>
          <w:lang w:val="fr"/>
        </w:rPr>
        <w:t>Soutien à l’abeille noire (abeille indigène)</w:t>
      </w:r>
    </w:p>
    <w:p w14:paraId="7AC5D0F0" w14:textId="77777777" w:rsidR="005E1943" w:rsidRPr="005E1943" w:rsidRDefault="005E1943" w:rsidP="005E1943">
      <w:pPr>
        <w:pStyle w:val="paragraph"/>
        <w:ind w:left="850"/>
        <w:jc w:val="both"/>
        <w:rPr>
          <w:rFonts w:asciiTheme="minorHAnsi" w:eastAsiaTheme="minorEastAsia" w:hAnsiTheme="minorHAnsi" w:cstheme="minorBidi"/>
          <w:sz w:val="22"/>
          <w:szCs w:val="22"/>
          <w:lang w:val="fr"/>
        </w:rPr>
      </w:pPr>
      <w:r w:rsidRPr="005E1943">
        <w:rPr>
          <w:rFonts w:asciiTheme="minorHAnsi" w:eastAsiaTheme="minorEastAsia" w:hAnsiTheme="minorHAnsi" w:cstheme="minorBidi"/>
          <w:sz w:val="22"/>
          <w:szCs w:val="22"/>
          <w:lang w:val="fr"/>
        </w:rPr>
        <w:t>La Région wallonne a aidé à la création de la Maison l’Abeille noire à l’Aquascope de Virelles et soutient son fonctionnement.</w:t>
      </w:r>
    </w:p>
    <w:p w14:paraId="11ED8D03" w14:textId="77777777" w:rsidR="005E1943" w:rsidRPr="005E1943" w:rsidRDefault="005E1943" w:rsidP="005E1943">
      <w:pPr>
        <w:pStyle w:val="paragraph"/>
        <w:jc w:val="both"/>
        <w:rPr>
          <w:rFonts w:ascii="Calibri" w:hAnsi="Calibri" w:cs="Calibri"/>
          <w:sz w:val="22"/>
          <w:szCs w:val="22"/>
          <w:lang w:val="fr"/>
        </w:rPr>
      </w:pPr>
    </w:p>
    <w:p w14:paraId="61476F73" w14:textId="77777777" w:rsidR="005E1943" w:rsidRPr="005E1943" w:rsidRDefault="005E1943" w:rsidP="005E1943">
      <w:pPr>
        <w:pStyle w:val="paragraph"/>
        <w:numPr>
          <w:ilvl w:val="0"/>
          <w:numId w:val="1"/>
        </w:numPr>
        <w:spacing w:after="120" w:afterAutospacing="0"/>
        <w:jc w:val="both"/>
        <w:rPr>
          <w:rFonts w:asciiTheme="minorHAnsi" w:eastAsiaTheme="minorEastAsia" w:hAnsiTheme="minorHAnsi" w:cstheme="minorBidi"/>
          <w:b/>
          <w:bCs/>
          <w:sz w:val="22"/>
          <w:szCs w:val="22"/>
          <w:lang w:val="fr"/>
        </w:rPr>
      </w:pPr>
      <w:r w:rsidRPr="005E1943">
        <w:rPr>
          <w:rFonts w:asciiTheme="minorHAnsi" w:eastAsiaTheme="minorEastAsia" w:hAnsiTheme="minorHAnsi" w:cstheme="minorBidi"/>
          <w:b/>
          <w:bCs/>
          <w:sz w:val="22"/>
          <w:szCs w:val="22"/>
          <w:u w:val="single"/>
          <w:lang w:val="fr"/>
        </w:rPr>
        <w:t>Projets de recherche</w:t>
      </w:r>
    </w:p>
    <w:p w14:paraId="0C8B73EF" w14:textId="77777777" w:rsidR="005E1943" w:rsidRPr="005E1943" w:rsidRDefault="005E1943" w:rsidP="005E1943">
      <w:pPr>
        <w:pStyle w:val="paragraph"/>
        <w:spacing w:after="120" w:afterAutospacing="0"/>
        <w:ind w:left="1417" w:hanging="567"/>
        <w:jc w:val="both"/>
        <w:rPr>
          <w:rFonts w:asciiTheme="minorHAnsi" w:eastAsiaTheme="minorEastAsia" w:hAnsiTheme="minorHAnsi" w:cstheme="minorBidi"/>
          <w:sz w:val="22"/>
          <w:szCs w:val="22"/>
          <w:lang w:val="fr"/>
        </w:rPr>
      </w:pPr>
      <w:r w:rsidRPr="005E1943">
        <w:rPr>
          <w:rFonts w:asciiTheme="minorHAnsi" w:eastAsiaTheme="minorEastAsia" w:hAnsiTheme="minorHAnsi" w:cstheme="minorBidi"/>
          <w:sz w:val="22"/>
          <w:szCs w:val="22"/>
          <w:lang w:val="fr"/>
        </w:rPr>
        <w:t xml:space="preserve">1) </w:t>
      </w:r>
      <w:r w:rsidRPr="005E1943">
        <w:rPr>
          <w:rFonts w:asciiTheme="minorHAnsi" w:eastAsiaTheme="minorEastAsia" w:hAnsiTheme="minorHAnsi" w:cstheme="minorBidi"/>
          <w:sz w:val="22"/>
          <w:szCs w:val="22"/>
          <w:u w:val="single"/>
          <w:lang w:val="fr"/>
        </w:rPr>
        <w:t xml:space="preserve">Projet wallon collaboratif pour l’élevage et la sélection d’abeilles résistantes à </w:t>
      </w:r>
      <w:r w:rsidRPr="005E1943">
        <w:rPr>
          <w:rFonts w:asciiTheme="minorHAnsi" w:eastAsiaTheme="minorEastAsia" w:hAnsiTheme="minorHAnsi" w:cstheme="minorBidi"/>
          <w:i/>
          <w:iCs/>
          <w:sz w:val="22"/>
          <w:szCs w:val="22"/>
          <w:u w:val="single"/>
          <w:lang w:val="fr"/>
        </w:rPr>
        <w:t xml:space="preserve">Varroa </w:t>
      </w:r>
      <w:proofErr w:type="spellStart"/>
      <w:r w:rsidRPr="005E1943">
        <w:rPr>
          <w:rFonts w:asciiTheme="minorHAnsi" w:eastAsiaTheme="minorEastAsia" w:hAnsiTheme="minorHAnsi" w:cstheme="minorBidi"/>
          <w:i/>
          <w:iCs/>
          <w:sz w:val="22"/>
          <w:szCs w:val="22"/>
          <w:u w:val="single"/>
          <w:lang w:val="fr"/>
        </w:rPr>
        <w:t>destructor</w:t>
      </w:r>
      <w:proofErr w:type="spellEnd"/>
    </w:p>
    <w:p w14:paraId="5CEB538A" w14:textId="77777777" w:rsidR="005E1943" w:rsidRPr="005E1943" w:rsidRDefault="005E1943" w:rsidP="005E1943">
      <w:pPr>
        <w:pStyle w:val="paragraph"/>
        <w:spacing w:after="120" w:afterAutospacing="0"/>
        <w:ind w:left="1417" w:hanging="567"/>
        <w:jc w:val="both"/>
        <w:rPr>
          <w:rFonts w:asciiTheme="minorHAnsi" w:eastAsiaTheme="minorEastAsia" w:hAnsiTheme="minorHAnsi" w:cstheme="minorBidi"/>
          <w:sz w:val="22"/>
          <w:szCs w:val="22"/>
          <w:lang w:val="fr"/>
        </w:rPr>
      </w:pPr>
      <w:r w:rsidRPr="005E1943">
        <w:rPr>
          <w:rFonts w:asciiTheme="minorHAnsi" w:eastAsiaTheme="minorEastAsia" w:hAnsiTheme="minorHAnsi" w:cstheme="minorBidi"/>
          <w:sz w:val="22"/>
          <w:szCs w:val="22"/>
          <w:lang w:val="fr"/>
        </w:rPr>
        <w:t xml:space="preserve">Le projet vise à sélectionner des souches d’abeilles résistantes à Varroa sur base de leur comportement hygiénique appelé comportement « VSH ». </w:t>
      </w:r>
    </w:p>
    <w:p w14:paraId="4AF0CC6B" w14:textId="77777777" w:rsidR="005E1943" w:rsidRPr="005E1943" w:rsidRDefault="005E1943" w:rsidP="005E1943">
      <w:pPr>
        <w:pStyle w:val="paragraph"/>
        <w:spacing w:after="120" w:afterAutospacing="0"/>
        <w:ind w:left="1417" w:hanging="567"/>
        <w:jc w:val="both"/>
        <w:rPr>
          <w:rFonts w:asciiTheme="minorHAnsi" w:eastAsiaTheme="minorEastAsia" w:hAnsiTheme="minorHAnsi" w:cstheme="minorBidi"/>
          <w:sz w:val="22"/>
          <w:szCs w:val="22"/>
          <w:lang w:val="fr"/>
        </w:rPr>
      </w:pPr>
      <w:r w:rsidRPr="005E1943">
        <w:rPr>
          <w:rFonts w:asciiTheme="minorHAnsi" w:eastAsiaTheme="minorEastAsia" w:hAnsiTheme="minorHAnsi" w:cstheme="minorBidi"/>
          <w:sz w:val="22"/>
          <w:szCs w:val="22"/>
          <w:lang w:val="fr"/>
        </w:rPr>
        <w:t xml:space="preserve">2) </w:t>
      </w:r>
      <w:proofErr w:type="spellStart"/>
      <w:r w:rsidRPr="005E1943">
        <w:rPr>
          <w:rFonts w:asciiTheme="minorHAnsi" w:eastAsiaTheme="minorEastAsia" w:hAnsiTheme="minorHAnsi" w:cstheme="minorBidi"/>
          <w:sz w:val="22"/>
          <w:szCs w:val="22"/>
          <w:u w:val="single"/>
          <w:lang w:val="fr"/>
        </w:rPr>
        <w:t>Polbees</w:t>
      </w:r>
      <w:proofErr w:type="spellEnd"/>
    </w:p>
    <w:p w14:paraId="12DF054F" w14:textId="77777777" w:rsidR="005E1943" w:rsidRPr="005E1943" w:rsidRDefault="005E1943" w:rsidP="005E1943">
      <w:pPr>
        <w:pStyle w:val="paragraph"/>
        <w:spacing w:after="120" w:afterAutospacing="0"/>
        <w:ind w:left="1417" w:hanging="567"/>
        <w:jc w:val="both"/>
        <w:rPr>
          <w:rFonts w:asciiTheme="minorHAnsi" w:eastAsiaTheme="minorEastAsia" w:hAnsiTheme="minorHAnsi" w:cstheme="minorBidi"/>
          <w:sz w:val="22"/>
          <w:szCs w:val="22"/>
          <w:lang w:val="fr"/>
        </w:rPr>
      </w:pPr>
      <w:r w:rsidRPr="005E1943">
        <w:rPr>
          <w:rFonts w:asciiTheme="minorHAnsi" w:eastAsiaTheme="minorEastAsia" w:hAnsiTheme="minorHAnsi" w:cstheme="minorBidi"/>
          <w:sz w:val="22"/>
          <w:szCs w:val="22"/>
          <w:lang w:val="fr"/>
        </w:rPr>
        <w:t xml:space="preserve">Le projet </w:t>
      </w:r>
      <w:proofErr w:type="spellStart"/>
      <w:r w:rsidRPr="005E1943">
        <w:rPr>
          <w:rFonts w:asciiTheme="minorHAnsi" w:eastAsiaTheme="minorEastAsia" w:hAnsiTheme="minorHAnsi" w:cstheme="minorBidi"/>
          <w:sz w:val="22"/>
          <w:szCs w:val="22"/>
          <w:lang w:val="fr"/>
        </w:rPr>
        <w:t>PolBEES</w:t>
      </w:r>
      <w:proofErr w:type="spellEnd"/>
      <w:r w:rsidRPr="005E1943">
        <w:rPr>
          <w:rFonts w:asciiTheme="minorHAnsi" w:eastAsiaTheme="minorEastAsia" w:hAnsiTheme="minorHAnsi" w:cstheme="minorBidi"/>
          <w:sz w:val="22"/>
          <w:szCs w:val="22"/>
          <w:lang w:val="fr"/>
        </w:rPr>
        <w:t xml:space="preserve"> est porté par le CRA-W en partenariat avec d’autres universités ou organismes : </w:t>
      </w:r>
      <w:hyperlink r:id="rId13">
        <w:r w:rsidRPr="005E1943">
          <w:rPr>
            <w:rStyle w:val="Lienhypertexte"/>
            <w:rFonts w:asciiTheme="minorHAnsi" w:eastAsiaTheme="minorEastAsia" w:hAnsiTheme="minorHAnsi" w:cstheme="minorBidi"/>
            <w:color w:val="0000FF"/>
            <w:sz w:val="22"/>
            <w:szCs w:val="22"/>
            <w:lang w:val="fr"/>
          </w:rPr>
          <w:t>http://www.cra.wallonie.be/fr/polbees</w:t>
        </w:r>
      </w:hyperlink>
      <w:r w:rsidRPr="005E1943">
        <w:rPr>
          <w:rFonts w:asciiTheme="minorHAnsi" w:eastAsiaTheme="minorEastAsia" w:hAnsiTheme="minorHAnsi" w:cstheme="minorBidi"/>
          <w:sz w:val="22"/>
          <w:szCs w:val="22"/>
          <w:lang w:val="fr"/>
        </w:rPr>
        <w:t>. Il vise à étudier l’impact de deux facteurs suspectés d’être impliqués dans la mortalité des insectes pollinisateurs (abeilles au sens large) : la contamination de leurs ressources nutritives (pollen) par des pesticides et la diminution de ces ressources en quantité et en qualité.</w:t>
      </w:r>
    </w:p>
    <w:p w14:paraId="10DB5269" w14:textId="77777777" w:rsidR="005E1943" w:rsidRPr="005E1943" w:rsidRDefault="005E1943" w:rsidP="005E1943">
      <w:pPr>
        <w:pStyle w:val="paragraph"/>
        <w:spacing w:after="120" w:afterAutospacing="0"/>
        <w:ind w:left="1417" w:hanging="567"/>
        <w:jc w:val="both"/>
        <w:rPr>
          <w:rFonts w:asciiTheme="minorHAnsi" w:eastAsiaTheme="minorEastAsia" w:hAnsiTheme="minorHAnsi" w:cstheme="minorBidi"/>
          <w:sz w:val="22"/>
          <w:szCs w:val="22"/>
          <w:u w:val="single"/>
          <w:lang w:val="fr"/>
        </w:rPr>
      </w:pPr>
      <w:r w:rsidRPr="005E1943">
        <w:rPr>
          <w:rFonts w:asciiTheme="minorHAnsi" w:eastAsiaTheme="minorEastAsia" w:hAnsiTheme="minorHAnsi" w:cstheme="minorBidi"/>
          <w:sz w:val="22"/>
          <w:szCs w:val="22"/>
          <w:lang w:val="fr"/>
        </w:rPr>
        <w:lastRenderedPageBreak/>
        <w:t xml:space="preserve">3) </w:t>
      </w:r>
      <w:proofErr w:type="spellStart"/>
      <w:r w:rsidRPr="005E1943">
        <w:rPr>
          <w:rFonts w:asciiTheme="minorHAnsi" w:eastAsiaTheme="minorEastAsia" w:hAnsiTheme="minorHAnsi" w:cstheme="minorBidi"/>
          <w:sz w:val="22"/>
          <w:szCs w:val="22"/>
          <w:u w:val="single"/>
          <w:lang w:val="fr"/>
        </w:rPr>
        <w:t>BeeToxWax</w:t>
      </w:r>
      <w:proofErr w:type="spellEnd"/>
      <w:r w:rsidRPr="005E1943">
        <w:rPr>
          <w:rFonts w:asciiTheme="minorHAnsi" w:eastAsiaTheme="minorEastAsia" w:hAnsiTheme="minorHAnsi" w:cstheme="minorBidi"/>
          <w:sz w:val="22"/>
          <w:szCs w:val="22"/>
          <w:u w:val="single"/>
          <w:lang w:val="fr"/>
        </w:rPr>
        <w:t xml:space="preserve"> - Développement d’outils d’interprétation et de sensibilisation aux pesticides présents dans la ruche</w:t>
      </w:r>
    </w:p>
    <w:p w14:paraId="48F54E27" w14:textId="77777777" w:rsidR="005E1943" w:rsidRPr="005E1943" w:rsidRDefault="005E1943" w:rsidP="005E1943">
      <w:pPr>
        <w:pStyle w:val="paragraph"/>
        <w:spacing w:after="120" w:afterAutospacing="0"/>
        <w:ind w:left="1417" w:hanging="567"/>
        <w:jc w:val="both"/>
        <w:rPr>
          <w:rFonts w:asciiTheme="minorHAnsi" w:eastAsiaTheme="minorEastAsia" w:hAnsiTheme="minorHAnsi" w:cstheme="minorBidi"/>
          <w:sz w:val="22"/>
          <w:szCs w:val="22"/>
          <w:lang w:val="fr"/>
        </w:rPr>
      </w:pPr>
      <w:r w:rsidRPr="005E1943">
        <w:rPr>
          <w:rFonts w:asciiTheme="minorHAnsi" w:eastAsiaTheme="minorEastAsia" w:hAnsiTheme="minorHAnsi" w:cstheme="minorBidi"/>
          <w:sz w:val="22"/>
          <w:szCs w:val="22"/>
          <w:lang w:val="fr"/>
        </w:rPr>
        <w:t>Ce projet vise à :</w:t>
      </w:r>
    </w:p>
    <w:p w14:paraId="05C3F701" w14:textId="77777777" w:rsidR="005E1943" w:rsidRPr="005E1943" w:rsidRDefault="005E1943" w:rsidP="005E1943">
      <w:pPr>
        <w:pStyle w:val="paragraph"/>
        <w:spacing w:after="0" w:afterAutospacing="0"/>
        <w:ind w:left="1701" w:hanging="567"/>
        <w:jc w:val="both"/>
        <w:rPr>
          <w:rFonts w:asciiTheme="minorHAnsi" w:eastAsiaTheme="minorEastAsia" w:hAnsiTheme="minorHAnsi" w:cstheme="minorBidi"/>
          <w:sz w:val="22"/>
          <w:szCs w:val="22"/>
          <w:lang w:val="fr"/>
        </w:rPr>
      </w:pPr>
      <w:r w:rsidRPr="005E1943">
        <w:rPr>
          <w:rFonts w:asciiTheme="minorHAnsi" w:eastAsiaTheme="minorEastAsia" w:hAnsiTheme="minorHAnsi" w:cstheme="minorBidi"/>
          <w:sz w:val="22"/>
          <w:szCs w:val="22"/>
          <w:lang w:val="fr"/>
        </w:rPr>
        <w:t>1</w:t>
      </w:r>
      <w:proofErr w:type="gramStart"/>
      <w:r w:rsidRPr="005E1943">
        <w:rPr>
          <w:rFonts w:asciiTheme="minorHAnsi" w:eastAsiaTheme="minorEastAsia" w:hAnsiTheme="minorHAnsi" w:cstheme="minorBidi"/>
          <w:sz w:val="22"/>
          <w:szCs w:val="22"/>
          <w:lang w:val="fr"/>
        </w:rPr>
        <w:t>°)  développer</w:t>
      </w:r>
      <w:proofErr w:type="gramEnd"/>
      <w:r w:rsidRPr="005E1943">
        <w:rPr>
          <w:rFonts w:asciiTheme="minorHAnsi" w:eastAsiaTheme="minorEastAsia" w:hAnsiTheme="minorHAnsi" w:cstheme="minorBidi"/>
          <w:sz w:val="22"/>
          <w:szCs w:val="22"/>
          <w:lang w:val="fr"/>
        </w:rPr>
        <w:t xml:space="preserve"> un outil d’interprétation de la qualité des cires (contamination par les pesticides) ;</w:t>
      </w:r>
    </w:p>
    <w:p w14:paraId="49E783C1" w14:textId="77777777" w:rsidR="005E1943" w:rsidRPr="005E1943" w:rsidRDefault="005E1943" w:rsidP="005E1943">
      <w:pPr>
        <w:pStyle w:val="paragraph"/>
        <w:spacing w:after="0" w:afterAutospacing="0"/>
        <w:ind w:left="1701" w:hanging="567"/>
        <w:jc w:val="both"/>
        <w:rPr>
          <w:rFonts w:asciiTheme="minorHAnsi" w:eastAsiaTheme="minorEastAsia" w:hAnsiTheme="minorHAnsi" w:cstheme="minorBidi"/>
          <w:sz w:val="22"/>
          <w:szCs w:val="22"/>
          <w:lang w:val="fr"/>
        </w:rPr>
      </w:pPr>
      <w:r w:rsidRPr="005E1943">
        <w:rPr>
          <w:rFonts w:asciiTheme="minorHAnsi" w:eastAsiaTheme="minorEastAsia" w:hAnsiTheme="minorHAnsi" w:cstheme="minorBidi"/>
          <w:sz w:val="22"/>
          <w:szCs w:val="22"/>
          <w:lang w:val="fr"/>
        </w:rPr>
        <w:t>2</w:t>
      </w:r>
      <w:proofErr w:type="gramStart"/>
      <w:r w:rsidRPr="005E1943">
        <w:rPr>
          <w:rFonts w:asciiTheme="minorHAnsi" w:eastAsiaTheme="minorEastAsia" w:hAnsiTheme="minorHAnsi" w:cstheme="minorBidi"/>
          <w:sz w:val="22"/>
          <w:szCs w:val="22"/>
          <w:lang w:val="fr"/>
        </w:rPr>
        <w:t>°)  développer</w:t>
      </w:r>
      <w:proofErr w:type="gramEnd"/>
      <w:r w:rsidRPr="005E1943">
        <w:rPr>
          <w:rFonts w:asciiTheme="minorHAnsi" w:eastAsiaTheme="minorEastAsia" w:hAnsiTheme="minorHAnsi" w:cstheme="minorBidi"/>
          <w:sz w:val="22"/>
          <w:szCs w:val="22"/>
          <w:lang w:val="fr"/>
        </w:rPr>
        <w:t xml:space="preserve"> des outils de sensibilisation des apiculteurs et des autres parties prenantes aux contaminations aux pesticides, avec pour objectifs :</w:t>
      </w:r>
    </w:p>
    <w:p w14:paraId="51B66B43" w14:textId="77777777" w:rsidR="005E1943" w:rsidRPr="005E1943" w:rsidRDefault="005E1943" w:rsidP="005E1943">
      <w:pPr>
        <w:pStyle w:val="paragraph"/>
        <w:spacing w:after="0" w:afterAutospacing="0"/>
        <w:ind w:left="1984" w:hanging="567"/>
        <w:jc w:val="both"/>
        <w:rPr>
          <w:rFonts w:asciiTheme="minorHAnsi" w:eastAsiaTheme="minorEastAsia" w:hAnsiTheme="minorHAnsi" w:cstheme="minorBidi"/>
          <w:sz w:val="22"/>
          <w:szCs w:val="22"/>
          <w:lang w:val="fr"/>
        </w:rPr>
      </w:pPr>
      <w:r w:rsidRPr="005E1943">
        <w:rPr>
          <w:rFonts w:asciiTheme="minorHAnsi" w:eastAsiaTheme="minorEastAsia" w:hAnsiTheme="minorHAnsi" w:cstheme="minorBidi"/>
          <w:sz w:val="22"/>
          <w:szCs w:val="22"/>
          <w:lang w:val="fr"/>
        </w:rPr>
        <w:t xml:space="preserve">a.  </w:t>
      </w:r>
      <w:proofErr w:type="gramStart"/>
      <w:r w:rsidRPr="005E1943">
        <w:rPr>
          <w:rFonts w:asciiTheme="minorHAnsi" w:eastAsiaTheme="minorEastAsia" w:hAnsiTheme="minorHAnsi" w:cstheme="minorBidi"/>
          <w:sz w:val="22"/>
          <w:szCs w:val="22"/>
          <w:lang w:val="fr"/>
        </w:rPr>
        <w:t>d’estimer</w:t>
      </w:r>
      <w:proofErr w:type="gramEnd"/>
      <w:r w:rsidRPr="005E1943">
        <w:rPr>
          <w:rFonts w:asciiTheme="minorHAnsi" w:eastAsiaTheme="minorEastAsia" w:hAnsiTheme="minorHAnsi" w:cstheme="minorBidi"/>
          <w:sz w:val="22"/>
          <w:szCs w:val="22"/>
          <w:lang w:val="fr"/>
        </w:rPr>
        <w:t xml:space="preserve"> l’effet des pesticides sur les larves d’abeilles ;</w:t>
      </w:r>
    </w:p>
    <w:p w14:paraId="5E3DD59C" w14:textId="77777777" w:rsidR="005E1943" w:rsidRPr="005E1943" w:rsidRDefault="005E1943" w:rsidP="005E1943">
      <w:pPr>
        <w:pStyle w:val="paragraph"/>
        <w:spacing w:after="0" w:afterAutospacing="0"/>
        <w:ind w:left="1984" w:hanging="567"/>
        <w:jc w:val="both"/>
        <w:rPr>
          <w:rFonts w:asciiTheme="minorHAnsi" w:eastAsiaTheme="minorEastAsia" w:hAnsiTheme="minorHAnsi" w:cstheme="minorBidi"/>
          <w:sz w:val="22"/>
          <w:szCs w:val="22"/>
          <w:lang w:val="fr"/>
        </w:rPr>
      </w:pPr>
      <w:r w:rsidRPr="005E1943">
        <w:rPr>
          <w:rFonts w:asciiTheme="minorHAnsi" w:eastAsiaTheme="minorEastAsia" w:hAnsiTheme="minorHAnsi" w:cstheme="minorBidi"/>
          <w:sz w:val="22"/>
          <w:szCs w:val="22"/>
          <w:lang w:val="fr"/>
        </w:rPr>
        <w:t xml:space="preserve">b.  </w:t>
      </w:r>
      <w:proofErr w:type="gramStart"/>
      <w:r w:rsidRPr="005E1943">
        <w:rPr>
          <w:rFonts w:asciiTheme="minorHAnsi" w:eastAsiaTheme="minorEastAsia" w:hAnsiTheme="minorHAnsi" w:cstheme="minorBidi"/>
          <w:sz w:val="22"/>
          <w:szCs w:val="22"/>
          <w:lang w:val="fr"/>
        </w:rPr>
        <w:t>d’estimer</w:t>
      </w:r>
      <w:proofErr w:type="gramEnd"/>
      <w:r w:rsidRPr="005E1943">
        <w:rPr>
          <w:rFonts w:asciiTheme="minorHAnsi" w:eastAsiaTheme="minorEastAsia" w:hAnsiTheme="minorHAnsi" w:cstheme="minorBidi"/>
          <w:sz w:val="22"/>
          <w:szCs w:val="22"/>
          <w:lang w:val="fr"/>
        </w:rPr>
        <w:t xml:space="preserve"> la charge totale cumulée en pesticides dans la ruche durant une saison apicole ;</w:t>
      </w:r>
    </w:p>
    <w:p w14:paraId="0538AD93" w14:textId="77777777" w:rsidR="005E1943" w:rsidRPr="005E1943" w:rsidRDefault="005E1943" w:rsidP="005E1943">
      <w:pPr>
        <w:pStyle w:val="paragraph"/>
        <w:spacing w:after="120" w:afterAutospacing="0"/>
        <w:ind w:left="1984" w:hanging="567"/>
        <w:jc w:val="both"/>
        <w:rPr>
          <w:rFonts w:asciiTheme="minorHAnsi" w:eastAsiaTheme="minorEastAsia" w:hAnsiTheme="minorHAnsi" w:cstheme="minorBidi"/>
          <w:sz w:val="22"/>
          <w:szCs w:val="22"/>
          <w:lang w:val="fr"/>
        </w:rPr>
      </w:pPr>
      <w:r w:rsidRPr="005E1943">
        <w:rPr>
          <w:rFonts w:asciiTheme="minorHAnsi" w:eastAsiaTheme="minorEastAsia" w:hAnsiTheme="minorHAnsi" w:cstheme="minorBidi"/>
          <w:sz w:val="22"/>
          <w:szCs w:val="22"/>
          <w:lang w:val="fr"/>
        </w:rPr>
        <w:t xml:space="preserve">c.   </w:t>
      </w:r>
      <w:proofErr w:type="gramStart"/>
      <w:r w:rsidRPr="005E1943">
        <w:rPr>
          <w:rFonts w:asciiTheme="minorHAnsi" w:eastAsiaTheme="minorEastAsia" w:hAnsiTheme="minorHAnsi" w:cstheme="minorBidi"/>
          <w:sz w:val="22"/>
          <w:szCs w:val="22"/>
          <w:lang w:val="fr"/>
        </w:rPr>
        <w:t>de</w:t>
      </w:r>
      <w:proofErr w:type="gramEnd"/>
      <w:r w:rsidRPr="005E1943">
        <w:rPr>
          <w:rFonts w:asciiTheme="minorHAnsi" w:eastAsiaTheme="minorEastAsia" w:hAnsiTheme="minorHAnsi" w:cstheme="minorBidi"/>
          <w:sz w:val="22"/>
          <w:szCs w:val="22"/>
          <w:lang w:val="fr"/>
        </w:rPr>
        <w:t xml:space="preserve"> modéliser les migrations de la cire dans les différents compartiments de la ruche.</w:t>
      </w:r>
    </w:p>
    <w:p w14:paraId="6A678318" w14:textId="77777777" w:rsidR="005E1943" w:rsidRPr="005E1943" w:rsidRDefault="005E1943" w:rsidP="005E1943">
      <w:pPr>
        <w:pStyle w:val="paragraph"/>
        <w:spacing w:after="120" w:afterAutospacing="0"/>
        <w:ind w:left="850"/>
        <w:jc w:val="both"/>
        <w:rPr>
          <w:rFonts w:asciiTheme="minorHAnsi" w:eastAsiaTheme="minorEastAsia" w:hAnsiTheme="minorHAnsi" w:cstheme="minorBidi"/>
          <w:sz w:val="22"/>
          <w:szCs w:val="22"/>
          <w:lang w:val="fr"/>
        </w:rPr>
      </w:pPr>
      <w:r w:rsidRPr="005E1943">
        <w:rPr>
          <w:rFonts w:asciiTheme="minorHAnsi" w:eastAsiaTheme="minorEastAsia" w:hAnsiTheme="minorHAnsi" w:cstheme="minorBidi"/>
          <w:sz w:val="22"/>
          <w:szCs w:val="22"/>
          <w:lang w:val="fr"/>
        </w:rPr>
        <w:t xml:space="preserve">4) </w:t>
      </w:r>
      <w:proofErr w:type="spellStart"/>
      <w:r w:rsidRPr="005E1943">
        <w:rPr>
          <w:rFonts w:asciiTheme="minorHAnsi" w:eastAsiaTheme="minorEastAsia" w:hAnsiTheme="minorHAnsi" w:cstheme="minorBidi"/>
          <w:sz w:val="22"/>
          <w:szCs w:val="22"/>
          <w:u w:val="single"/>
          <w:lang w:val="fr"/>
        </w:rPr>
        <w:t>Beesyn</w:t>
      </w:r>
      <w:proofErr w:type="spellEnd"/>
    </w:p>
    <w:p w14:paraId="201D0D62" w14:textId="77777777" w:rsidR="005E1943" w:rsidRPr="005E1943" w:rsidRDefault="005E1943" w:rsidP="005E1943">
      <w:pPr>
        <w:pStyle w:val="paragraph"/>
        <w:spacing w:after="120" w:afterAutospacing="0"/>
        <w:ind w:left="850"/>
        <w:jc w:val="both"/>
        <w:rPr>
          <w:rFonts w:asciiTheme="minorHAnsi" w:eastAsiaTheme="minorEastAsia" w:hAnsiTheme="minorHAnsi" w:cstheme="minorBidi"/>
          <w:sz w:val="22"/>
          <w:szCs w:val="22"/>
          <w:lang w:val="fr"/>
        </w:rPr>
      </w:pPr>
      <w:r w:rsidRPr="005E1943">
        <w:rPr>
          <w:rFonts w:asciiTheme="minorHAnsi" w:eastAsiaTheme="minorEastAsia" w:hAnsiTheme="minorHAnsi" w:cstheme="minorBidi"/>
          <w:sz w:val="22"/>
          <w:szCs w:val="22"/>
          <w:lang w:val="fr"/>
        </w:rPr>
        <w:t xml:space="preserve">Projet fédéral coordonné par le CRA-W. Il vise à déterminer la place réelle des pesticides en tant que facteur de stress pour la santé des abeilles et les synergies entre les facteurs de stress pouvant affecter la santé des colonies dans le contexte belge. Le premier but est d’obtenir une meilleure image du niveau de contamination chimique des colonies et à déterminer l'origine de cette contamination. En savoir plus : </w:t>
      </w:r>
      <w:hyperlink r:id="rId14">
        <w:r w:rsidRPr="005E1943">
          <w:rPr>
            <w:rStyle w:val="Lienhypertexte"/>
            <w:rFonts w:asciiTheme="minorHAnsi" w:eastAsiaTheme="minorEastAsia" w:hAnsiTheme="minorHAnsi" w:cstheme="minorBidi"/>
            <w:sz w:val="22"/>
            <w:szCs w:val="22"/>
            <w:lang w:val="fr"/>
          </w:rPr>
          <w:t>http://www.cra.wallonie.be/fr/beesyn</w:t>
        </w:r>
      </w:hyperlink>
      <w:r w:rsidRPr="005E1943">
        <w:rPr>
          <w:rFonts w:asciiTheme="minorHAnsi" w:eastAsiaTheme="minorEastAsia" w:hAnsiTheme="minorHAnsi" w:cstheme="minorBidi"/>
          <w:sz w:val="22"/>
          <w:szCs w:val="22"/>
          <w:lang w:val="fr"/>
        </w:rPr>
        <w:t>.</w:t>
      </w:r>
    </w:p>
    <w:p w14:paraId="15971E07" w14:textId="77777777" w:rsidR="00EE42DC" w:rsidRDefault="00EE42DC">
      <w:bookmarkStart w:id="0" w:name="_GoBack"/>
      <w:bookmarkEnd w:id="0"/>
    </w:p>
    <w:sectPr w:rsidR="00EE42DC" w:rsidSect="00B355CA">
      <w:type w:val="nextColumn"/>
      <w:pgSz w:w="11906" w:h="16838"/>
      <w:pgMar w:top="1417" w:right="1417" w:bottom="1417" w:left="1417"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CA615" w14:textId="77777777" w:rsidR="005E1943" w:rsidRDefault="005E1943" w:rsidP="005E1943">
      <w:pPr>
        <w:spacing w:after="0" w:line="240" w:lineRule="auto"/>
      </w:pPr>
      <w:r>
        <w:separator/>
      </w:r>
    </w:p>
  </w:endnote>
  <w:endnote w:type="continuationSeparator" w:id="0">
    <w:p w14:paraId="55134CE1" w14:textId="77777777" w:rsidR="005E1943" w:rsidRDefault="005E1943" w:rsidP="005E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A578D" w14:textId="77777777" w:rsidR="005E1943" w:rsidRDefault="005E1943" w:rsidP="005E1943">
      <w:pPr>
        <w:spacing w:after="0" w:line="240" w:lineRule="auto"/>
      </w:pPr>
      <w:r>
        <w:separator/>
      </w:r>
    </w:p>
  </w:footnote>
  <w:footnote w:type="continuationSeparator" w:id="0">
    <w:p w14:paraId="1C05B677" w14:textId="77777777" w:rsidR="005E1943" w:rsidRDefault="005E1943" w:rsidP="005E1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03095"/>
    <w:multiLevelType w:val="hybridMultilevel"/>
    <w:tmpl w:val="F27E6DA6"/>
    <w:lvl w:ilvl="0" w:tplc="0F0C7D9C">
      <w:start w:val="1"/>
      <w:numFmt w:val="decimal"/>
      <w:lvlText w:val="%1."/>
      <w:lvlJc w:val="left"/>
      <w:pPr>
        <w:ind w:left="720" w:hanging="360"/>
      </w:pPr>
    </w:lvl>
    <w:lvl w:ilvl="1" w:tplc="4FEEB7BC">
      <w:start w:val="1"/>
      <w:numFmt w:val="lowerLetter"/>
      <w:lvlText w:val="%2."/>
      <w:lvlJc w:val="left"/>
      <w:pPr>
        <w:ind w:left="1440" w:hanging="360"/>
      </w:pPr>
    </w:lvl>
    <w:lvl w:ilvl="2" w:tplc="30CC8530">
      <w:start w:val="1"/>
      <w:numFmt w:val="lowerRoman"/>
      <w:lvlText w:val="%3."/>
      <w:lvlJc w:val="right"/>
      <w:pPr>
        <w:ind w:left="2160" w:hanging="180"/>
      </w:pPr>
    </w:lvl>
    <w:lvl w:ilvl="3" w:tplc="E8F48E9C">
      <w:start w:val="1"/>
      <w:numFmt w:val="decimal"/>
      <w:lvlText w:val="%4."/>
      <w:lvlJc w:val="left"/>
      <w:pPr>
        <w:ind w:left="2880" w:hanging="360"/>
      </w:pPr>
    </w:lvl>
    <w:lvl w:ilvl="4" w:tplc="8C286ECA">
      <w:start w:val="1"/>
      <w:numFmt w:val="lowerLetter"/>
      <w:lvlText w:val="%5."/>
      <w:lvlJc w:val="left"/>
      <w:pPr>
        <w:ind w:left="3600" w:hanging="360"/>
      </w:pPr>
    </w:lvl>
    <w:lvl w:ilvl="5" w:tplc="B03A2DEC">
      <w:start w:val="1"/>
      <w:numFmt w:val="lowerRoman"/>
      <w:lvlText w:val="%6."/>
      <w:lvlJc w:val="right"/>
      <w:pPr>
        <w:ind w:left="4320" w:hanging="180"/>
      </w:pPr>
    </w:lvl>
    <w:lvl w:ilvl="6" w:tplc="352C54CA">
      <w:start w:val="1"/>
      <w:numFmt w:val="decimal"/>
      <w:lvlText w:val="%7."/>
      <w:lvlJc w:val="left"/>
      <w:pPr>
        <w:ind w:left="5040" w:hanging="360"/>
      </w:pPr>
    </w:lvl>
    <w:lvl w:ilvl="7" w:tplc="2A009AB6">
      <w:start w:val="1"/>
      <w:numFmt w:val="lowerLetter"/>
      <w:lvlText w:val="%8."/>
      <w:lvlJc w:val="left"/>
      <w:pPr>
        <w:ind w:left="5760" w:hanging="360"/>
      </w:pPr>
    </w:lvl>
    <w:lvl w:ilvl="8" w:tplc="CBA29A18">
      <w:start w:val="1"/>
      <w:numFmt w:val="lowerRoman"/>
      <w:lvlText w:val="%9."/>
      <w:lvlJc w:val="right"/>
      <w:pPr>
        <w:ind w:left="6480" w:hanging="180"/>
      </w:pPr>
    </w:lvl>
  </w:abstractNum>
  <w:abstractNum w:abstractNumId="1" w15:restartNumberingAfterBreak="0">
    <w:nsid w:val="3AE10EF5"/>
    <w:multiLevelType w:val="hybridMultilevel"/>
    <w:tmpl w:val="3A44B41A"/>
    <w:lvl w:ilvl="0" w:tplc="803CEAC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43"/>
    <w:rsid w:val="000028BE"/>
    <w:rsid w:val="00024A80"/>
    <w:rsid w:val="000C166E"/>
    <w:rsid w:val="000C4DD2"/>
    <w:rsid w:val="00170CC7"/>
    <w:rsid w:val="00182F0B"/>
    <w:rsid w:val="00377CA6"/>
    <w:rsid w:val="003C0C67"/>
    <w:rsid w:val="00491492"/>
    <w:rsid w:val="00567CE4"/>
    <w:rsid w:val="005E1943"/>
    <w:rsid w:val="006170B3"/>
    <w:rsid w:val="006719F7"/>
    <w:rsid w:val="006F6360"/>
    <w:rsid w:val="007216BA"/>
    <w:rsid w:val="00833F14"/>
    <w:rsid w:val="009F4CBB"/>
    <w:rsid w:val="00B2484D"/>
    <w:rsid w:val="00B355CA"/>
    <w:rsid w:val="00B92268"/>
    <w:rsid w:val="00BD5891"/>
    <w:rsid w:val="00DB1A98"/>
    <w:rsid w:val="00EE42DC"/>
    <w:rsid w:val="00F56C7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E6640"/>
  <w15:chartTrackingRefBased/>
  <w15:docId w15:val="{FA218154-94A0-46A7-A3D6-857E43E6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b/>
        <w:sz w:val="24"/>
        <w:szCs w:val="22"/>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943"/>
    <w:pPr>
      <w:spacing w:after="200" w:line="276" w:lineRule="auto"/>
    </w:pPr>
    <w:rPr>
      <w:b w:val="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1943"/>
    <w:pPr>
      <w:ind w:left="720"/>
      <w:contextualSpacing/>
    </w:pPr>
  </w:style>
  <w:style w:type="character" w:styleId="Lienhypertexte">
    <w:name w:val="Hyperlink"/>
    <w:basedOn w:val="Policepardfaut"/>
    <w:uiPriority w:val="99"/>
    <w:unhideWhenUsed/>
    <w:rsid w:val="005E1943"/>
    <w:rPr>
      <w:color w:val="0000FF" w:themeColor="hyperlink"/>
      <w:u w:val="single"/>
    </w:rPr>
  </w:style>
  <w:style w:type="paragraph" w:customStyle="1" w:styleId="paragraph">
    <w:name w:val="paragraph"/>
    <w:basedOn w:val="Normal"/>
    <w:rsid w:val="005E1943"/>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5E1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ra.wallonie.be/fr/polbe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griculture.wallonie.be/formation-en-apicultu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ewallonie.be/formation-apicultu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eewallonie.be.&#16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ra.wallonie.be/fr/beesy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F096F0F7A14459088E27FE48A432D" ma:contentTypeVersion="11" ma:contentTypeDescription="Crée un document." ma:contentTypeScope="" ma:versionID="259cc8d656adee491a9df65b22974938">
  <xsd:schema xmlns:xsd="http://www.w3.org/2001/XMLSchema" xmlns:xs="http://www.w3.org/2001/XMLSchema" xmlns:p="http://schemas.microsoft.com/office/2006/metadata/properties" xmlns:ns3="4e4d6541-d680-4bbc-ad3d-ef0ab7b97e8a" xmlns:ns4="ca8893d6-f9c9-4c54-a5ab-f6fecb5a1ee8" targetNamespace="http://schemas.microsoft.com/office/2006/metadata/properties" ma:root="true" ma:fieldsID="f7ec464485ded011d53e36a9e1f2834e" ns3:_="" ns4:_="">
    <xsd:import namespace="4e4d6541-d680-4bbc-ad3d-ef0ab7b97e8a"/>
    <xsd:import namespace="ca8893d6-f9c9-4c54-a5ab-f6fecb5a1e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d6541-d680-4bbc-ad3d-ef0ab7b9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8893d6-f9c9-4c54-a5ab-f6fecb5a1ee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96002-D600-49BF-9B4F-52B0FD90F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d6541-d680-4bbc-ad3d-ef0ab7b97e8a"/>
    <ds:schemaRef ds:uri="ca8893d6-f9c9-4c54-a5ab-f6fecb5a1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76B0E-C5FD-47E3-A451-3BC85ADE563B}">
  <ds:schemaRefs>
    <ds:schemaRef ds:uri="http://schemas.microsoft.com/sharepoint/v3/contenttype/forms"/>
  </ds:schemaRefs>
</ds:datastoreItem>
</file>

<file path=customXml/itemProps3.xml><?xml version="1.0" encoding="utf-8"?>
<ds:datastoreItem xmlns:ds="http://schemas.openxmlformats.org/officeDocument/2006/customXml" ds:itemID="{618EEEAC-6B1F-4E71-883F-BB8432BF7100}">
  <ds:schemaRefs>
    <ds:schemaRef ds:uri="http://schemas.openxmlformats.org/package/2006/metadata/core-properties"/>
    <ds:schemaRef ds:uri="http://www.w3.org/XML/1998/namespace"/>
    <ds:schemaRef ds:uri="http://purl.org/dc/terms/"/>
    <ds:schemaRef ds:uri="4e4d6541-d680-4bbc-ad3d-ef0ab7b97e8a"/>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ca8893d6-f9c9-4c54-a5ab-f6fecb5a1ee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5032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124101</dc:creator>
  <cp:keywords/>
  <dc:description/>
  <cp:lastModifiedBy>124101</cp:lastModifiedBy>
  <cp:revision>1</cp:revision>
  <dcterms:created xsi:type="dcterms:W3CDTF">2020-01-23T12:20:00Z</dcterms:created>
  <dcterms:modified xsi:type="dcterms:W3CDTF">2020-01-23T12:20:00Z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christine.veeschkens@spw.wallonie.be</vt:lpwstr>
  </property>
  <property fmtid="{D5CDD505-2E9C-101B-9397-08002B2CF9AE}" pid="5" name="MSIP_Label_e72a09c5-6e26-4737-a926-47ef1ab198ae_SetDate">
    <vt:lpwstr>2020-01-23T12:20:27.8518262Z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e98bdf27-3dc0-473d-a400-53d1e6ab1be0</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y fmtid="{D5CDD505-2E9C-101B-9397-08002B2CF9AE}" pid="11" name="ContentTypeId">
    <vt:lpwstr>0x0101001D0F096F0F7A14459088E27FE48A432D</vt:lpwstr>
  </property>
</Properties>
</file>